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B5" w:rsidRPr="00DA1FF8" w:rsidRDefault="002C13B5" w:rsidP="00DA1FF8">
      <w:pPr>
        <w:ind w:left="-90" w:right="-720"/>
        <w:jc w:val="center"/>
        <w:rPr>
          <w:b/>
          <w:bCs/>
          <w:color w:val="000000"/>
          <w:sz w:val="30"/>
          <w:szCs w:val="30"/>
          <w:lang w:eastAsia="zh-CN"/>
        </w:rPr>
      </w:pPr>
      <w:r w:rsidRPr="00DA1FF8">
        <w:rPr>
          <w:rFonts w:cs="宋体" w:hint="eastAsia"/>
          <w:b/>
          <w:bCs/>
          <w:color w:val="000000"/>
          <w:sz w:val="30"/>
          <w:szCs w:val="30"/>
          <w:lang w:eastAsia="zh-CN"/>
        </w:rPr>
        <w:t>经济与管理学院</w:t>
      </w:r>
      <w:r>
        <w:rPr>
          <w:b/>
          <w:bCs/>
          <w:color w:val="000000"/>
          <w:sz w:val="30"/>
          <w:szCs w:val="30"/>
          <w:lang w:eastAsia="zh-CN"/>
        </w:rPr>
        <w:t>-</w:t>
      </w:r>
      <w:r>
        <w:rPr>
          <w:rFonts w:cs="宋体" w:hint="eastAsia"/>
          <w:b/>
          <w:bCs/>
          <w:color w:val="000000"/>
          <w:sz w:val="30"/>
          <w:szCs w:val="30"/>
          <w:lang w:eastAsia="zh-CN"/>
        </w:rPr>
        <w:t>智能决策与风险分析研究所</w:t>
      </w:r>
      <w:r w:rsidRPr="00DA1FF8">
        <w:rPr>
          <w:rFonts w:cs="宋体" w:hint="eastAsia"/>
          <w:b/>
          <w:bCs/>
          <w:color w:val="000000"/>
          <w:sz w:val="30"/>
          <w:szCs w:val="30"/>
          <w:lang w:eastAsia="zh-CN"/>
        </w:rPr>
        <w:t>与国际交流处联合举办</w:t>
      </w:r>
    </w:p>
    <w:p w:rsidR="002C13B5" w:rsidRDefault="002C13B5" w:rsidP="005B3526">
      <w:pPr>
        <w:widowControl w:val="0"/>
        <w:autoSpaceDE w:val="0"/>
        <w:autoSpaceDN w:val="0"/>
        <w:adjustRightInd w:val="0"/>
        <w:jc w:val="center"/>
        <w:rPr>
          <w:b/>
          <w:bCs/>
          <w:sz w:val="35"/>
          <w:szCs w:val="35"/>
          <w:lang w:eastAsia="zh-CN"/>
        </w:rPr>
      </w:pPr>
      <w:r>
        <w:rPr>
          <w:b/>
          <w:bCs/>
          <w:sz w:val="35"/>
          <w:szCs w:val="35"/>
          <w:lang w:eastAsia="zh-CN"/>
        </w:rPr>
        <w:t>European Interest Rate Option Pricing ---</w:t>
      </w:r>
    </w:p>
    <w:p w:rsidR="002C13B5" w:rsidRDefault="002C13B5" w:rsidP="005B3526">
      <w:pPr>
        <w:widowControl w:val="0"/>
        <w:autoSpaceDE w:val="0"/>
        <w:autoSpaceDN w:val="0"/>
        <w:adjustRightInd w:val="0"/>
        <w:jc w:val="center"/>
        <w:rPr>
          <w:b/>
          <w:bCs/>
          <w:sz w:val="35"/>
          <w:szCs w:val="35"/>
          <w:lang w:eastAsia="zh-CN"/>
        </w:rPr>
      </w:pPr>
      <w:r>
        <w:rPr>
          <w:b/>
          <w:bCs/>
          <w:sz w:val="35"/>
          <w:szCs w:val="35"/>
          <w:lang w:eastAsia="zh-CN"/>
        </w:rPr>
        <w:t>A Perspective on Treatment of Negative Forward Rates</w:t>
      </w:r>
    </w:p>
    <w:p w:rsidR="002C13B5" w:rsidRDefault="002C13B5">
      <w:pPr>
        <w:ind w:right="-720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By</w:t>
      </w:r>
    </w:p>
    <w:p w:rsidR="002C13B5" w:rsidRPr="00533AC7" w:rsidRDefault="002C13B5">
      <w:pPr>
        <w:ind w:right="-720"/>
        <w:jc w:val="center"/>
        <w:rPr>
          <w:kern w:val="2"/>
          <w:sz w:val="30"/>
          <w:szCs w:val="30"/>
          <w:lang w:eastAsia="zh-CN"/>
        </w:rPr>
      </w:pPr>
      <w:r>
        <w:rPr>
          <w:rFonts w:cs="宋体" w:hint="eastAsia"/>
          <w:kern w:val="2"/>
          <w:sz w:val="30"/>
          <w:szCs w:val="30"/>
          <w:lang w:eastAsia="zh-CN"/>
        </w:rPr>
        <w:t>加拿大滑铁卢大学数学金融</w:t>
      </w:r>
      <w:r w:rsidRPr="00533AC7">
        <w:rPr>
          <w:rFonts w:cs="宋体" w:hint="eastAsia"/>
          <w:kern w:val="2"/>
          <w:sz w:val="30"/>
          <w:szCs w:val="30"/>
          <w:lang w:eastAsia="zh-CN"/>
        </w:rPr>
        <w:t>博士</w:t>
      </w:r>
    </w:p>
    <w:p w:rsidR="002C13B5" w:rsidRDefault="002C13B5">
      <w:pPr>
        <w:ind w:right="-720"/>
        <w:jc w:val="center"/>
        <w:rPr>
          <w:kern w:val="2"/>
          <w:sz w:val="30"/>
          <w:szCs w:val="30"/>
          <w:lang w:eastAsia="zh-CN"/>
        </w:rPr>
      </w:pPr>
      <w:r w:rsidRPr="00533AC7">
        <w:rPr>
          <w:rFonts w:cs="宋体" w:hint="eastAsia"/>
          <w:kern w:val="2"/>
          <w:sz w:val="30"/>
          <w:szCs w:val="30"/>
          <w:lang w:eastAsia="zh-CN"/>
        </w:rPr>
        <w:t>加拿大皇家银行模型风险管理部门高级经理</w:t>
      </w:r>
      <w:r>
        <w:rPr>
          <w:rFonts w:cs="宋体" w:hint="eastAsia"/>
          <w:kern w:val="2"/>
          <w:sz w:val="30"/>
          <w:szCs w:val="30"/>
          <w:lang w:eastAsia="zh-CN"/>
        </w:rPr>
        <w:t>和主任</w:t>
      </w:r>
    </w:p>
    <w:p w:rsidR="002C13B5" w:rsidRDefault="002C13B5">
      <w:pPr>
        <w:ind w:right="-720"/>
        <w:jc w:val="center"/>
        <w:rPr>
          <w:lang w:eastAsia="zh-CN"/>
        </w:rPr>
      </w:pPr>
      <w:r>
        <w:rPr>
          <w:lang w:eastAsia="zh-CN"/>
        </w:rPr>
        <w:t>Yeqi (Ritchie) He</w:t>
      </w:r>
      <w:r>
        <w:t xml:space="preserve"> </w:t>
      </w:r>
    </w:p>
    <w:p w:rsidR="002C13B5" w:rsidRDefault="002C13B5">
      <w:pPr>
        <w:ind w:right="-720"/>
        <w:jc w:val="center"/>
        <w:rPr>
          <w:lang w:eastAsia="zh-CN"/>
        </w:rPr>
      </w:pPr>
      <w:r w:rsidRPr="006455C5">
        <w:t xml:space="preserve">yeqi.he@rbc.com </w:t>
      </w:r>
    </w:p>
    <w:p w:rsidR="002C13B5" w:rsidRPr="006C7D52" w:rsidRDefault="002C13B5">
      <w:pPr>
        <w:ind w:right="-720"/>
        <w:jc w:val="center"/>
        <w:rPr>
          <w:color w:val="000000"/>
          <w:lang w:eastAsia="zh-CN"/>
        </w:rPr>
      </w:pPr>
      <w:r w:rsidRPr="00A74D09">
        <w:rPr>
          <w:color w:val="00000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78.5pt">
            <v:imagedata r:id="rId6" o:title=""/>
          </v:shape>
        </w:pict>
      </w:r>
    </w:p>
    <w:p w:rsidR="002C13B5" w:rsidRPr="00F006BC" w:rsidRDefault="002C13B5" w:rsidP="00B56F99">
      <w:pPr>
        <w:jc w:val="both"/>
        <w:rPr>
          <w:lang w:eastAsia="zh-CN"/>
        </w:rPr>
      </w:pPr>
      <w:r>
        <w:rPr>
          <w:lang w:eastAsia="zh-CN"/>
        </w:rPr>
        <w:t>Dr. He</w:t>
      </w:r>
      <w:r>
        <w:rPr>
          <w:rFonts w:cs="宋体" w:hint="eastAsia"/>
          <w:lang w:eastAsia="zh-CN"/>
        </w:rPr>
        <w:t>于上海交通大学获得工程学士和硕士学位，在加拿大滑铁卢大学获得</w:t>
      </w:r>
      <w:r>
        <w:rPr>
          <w:rFonts w:cs="宋体" w:hint="eastAsia"/>
          <w:sz w:val="22"/>
          <w:szCs w:val="22"/>
          <w:lang w:eastAsia="zh-CN"/>
        </w:rPr>
        <w:t>计量金融、数学以及工程方向的</w:t>
      </w:r>
      <w:r>
        <w:rPr>
          <w:rFonts w:cs="宋体" w:hint="eastAsia"/>
          <w:lang w:eastAsia="zh-CN"/>
        </w:rPr>
        <w:t>硕士以及博士学位。分别在加拿大</w:t>
      </w:r>
      <w:r w:rsidRPr="006455C5">
        <w:rPr>
          <w:rFonts w:cs="宋体" w:hint="eastAsia"/>
          <w:lang w:eastAsia="zh-CN"/>
        </w:rPr>
        <w:t>蒙特利尔银行</w:t>
      </w:r>
      <w:r>
        <w:rPr>
          <w:rFonts w:cs="宋体" w:hint="eastAsia"/>
          <w:lang w:eastAsia="zh-CN"/>
        </w:rPr>
        <w:t>和加拿大</w:t>
      </w:r>
      <w:r w:rsidRPr="006455C5">
        <w:rPr>
          <w:rFonts w:cs="宋体" w:hint="eastAsia"/>
          <w:lang w:eastAsia="zh-CN"/>
        </w:rPr>
        <w:t>皇家银行</w:t>
      </w:r>
      <w:r>
        <w:rPr>
          <w:rFonts w:cs="宋体" w:hint="eastAsia"/>
          <w:sz w:val="22"/>
          <w:szCs w:val="22"/>
          <w:lang w:eastAsia="zh-CN"/>
        </w:rPr>
        <w:t>担任</w:t>
      </w:r>
      <w:r w:rsidRPr="006455C5">
        <w:rPr>
          <w:rFonts w:cs="宋体" w:hint="eastAsia"/>
          <w:sz w:val="22"/>
          <w:szCs w:val="22"/>
          <w:lang w:eastAsia="zh-CN"/>
        </w:rPr>
        <w:t>高级分析员</w:t>
      </w:r>
      <w:r>
        <w:rPr>
          <w:rFonts w:cs="宋体" w:hint="eastAsia"/>
          <w:sz w:val="22"/>
          <w:szCs w:val="22"/>
          <w:lang w:eastAsia="zh-CN"/>
        </w:rPr>
        <w:t>、</w:t>
      </w:r>
      <w:r w:rsidRPr="006455C5">
        <w:rPr>
          <w:sz w:val="22"/>
          <w:szCs w:val="22"/>
          <w:lang w:eastAsia="zh-CN"/>
        </w:rPr>
        <w:t xml:space="preserve"> </w:t>
      </w:r>
      <w:r w:rsidRPr="006455C5">
        <w:rPr>
          <w:rFonts w:cs="宋体" w:hint="eastAsia"/>
          <w:sz w:val="22"/>
          <w:szCs w:val="22"/>
          <w:lang w:eastAsia="zh-CN"/>
        </w:rPr>
        <w:t>经理</w:t>
      </w:r>
      <w:r>
        <w:rPr>
          <w:rFonts w:cs="宋体" w:hint="eastAsia"/>
          <w:sz w:val="22"/>
          <w:szCs w:val="22"/>
          <w:lang w:eastAsia="zh-CN"/>
        </w:rPr>
        <w:t>、</w:t>
      </w:r>
      <w:r w:rsidRPr="006455C5">
        <w:rPr>
          <w:sz w:val="22"/>
          <w:szCs w:val="22"/>
          <w:lang w:eastAsia="zh-CN"/>
        </w:rPr>
        <w:t xml:space="preserve"> </w:t>
      </w:r>
      <w:r w:rsidRPr="006455C5">
        <w:rPr>
          <w:rFonts w:cs="宋体" w:hint="eastAsia"/>
          <w:sz w:val="22"/>
          <w:szCs w:val="22"/>
          <w:lang w:eastAsia="zh-CN"/>
        </w:rPr>
        <w:t>高</w:t>
      </w:r>
      <w:r w:rsidRPr="006455C5">
        <w:rPr>
          <w:rFonts w:cs="宋体" w:hint="eastAsia"/>
          <w:lang w:eastAsia="zh-CN"/>
        </w:rPr>
        <w:t>级顾问、高级经理</w:t>
      </w:r>
      <w:r>
        <w:rPr>
          <w:rFonts w:cs="宋体" w:hint="eastAsia"/>
          <w:lang w:eastAsia="zh-CN"/>
        </w:rPr>
        <w:t>、</w:t>
      </w:r>
      <w:r w:rsidRPr="006455C5">
        <w:rPr>
          <w:rFonts w:cs="宋体" w:hint="eastAsia"/>
          <w:lang w:eastAsia="zh-CN"/>
        </w:rPr>
        <w:t>和主任等职。</w:t>
      </w:r>
      <w:r w:rsidRPr="00EE702D">
        <w:rPr>
          <w:rFonts w:cs="宋体" w:hint="eastAsia"/>
          <w:lang w:eastAsia="zh-CN"/>
        </w:rPr>
        <w:t>主管衍生产品定价模型鉴定</w:t>
      </w:r>
      <w:r>
        <w:rPr>
          <w:lang w:eastAsia="zh-CN"/>
        </w:rPr>
        <w:t xml:space="preserve">, </w:t>
      </w:r>
      <w:r>
        <w:rPr>
          <w:rFonts w:cs="宋体" w:hint="eastAsia"/>
          <w:lang w:eastAsia="zh-CN"/>
        </w:rPr>
        <w:t>包括固定收益衍生</w:t>
      </w:r>
      <w:r w:rsidRPr="00EE702D">
        <w:rPr>
          <w:rFonts w:cs="宋体" w:hint="eastAsia"/>
          <w:lang w:eastAsia="zh-CN"/>
        </w:rPr>
        <w:t>品</w:t>
      </w:r>
      <w:r>
        <w:rPr>
          <w:lang w:eastAsia="zh-CN"/>
        </w:rPr>
        <w:t xml:space="preserve">, </w:t>
      </w:r>
      <w:r>
        <w:rPr>
          <w:rFonts w:cs="宋体" w:hint="eastAsia"/>
          <w:lang w:eastAsia="zh-CN"/>
        </w:rPr>
        <w:t>固定收益与外汇混合衍生</w:t>
      </w:r>
      <w:r w:rsidRPr="00EE702D">
        <w:rPr>
          <w:rFonts w:cs="宋体" w:hint="eastAsia"/>
          <w:lang w:eastAsia="zh-CN"/>
        </w:rPr>
        <w:t>品</w:t>
      </w:r>
      <w:r w:rsidRPr="00F006BC">
        <w:rPr>
          <w:rFonts w:cs="宋体" w:hint="eastAsia"/>
          <w:lang w:eastAsia="zh-CN"/>
        </w:rPr>
        <w:t>股票</w:t>
      </w:r>
      <w:r>
        <w:rPr>
          <w:rFonts w:cs="宋体" w:hint="eastAsia"/>
          <w:lang w:eastAsia="zh-CN"/>
        </w:rPr>
        <w:t>和</w:t>
      </w:r>
      <w:r w:rsidRPr="00F006BC">
        <w:rPr>
          <w:rFonts w:cs="宋体" w:hint="eastAsia"/>
          <w:lang w:eastAsia="zh-CN"/>
        </w:rPr>
        <w:t>股指衍生品</w:t>
      </w:r>
      <w:r w:rsidRPr="00F006BC">
        <w:rPr>
          <w:lang w:eastAsia="zh-CN"/>
        </w:rPr>
        <w:t xml:space="preserve">, </w:t>
      </w:r>
      <w:r>
        <w:rPr>
          <w:rFonts w:cs="宋体" w:hint="eastAsia"/>
          <w:lang w:eastAsia="zh-CN"/>
        </w:rPr>
        <w:t>外汇和商品衍生</w:t>
      </w:r>
      <w:r w:rsidRPr="00EE702D">
        <w:rPr>
          <w:rFonts w:cs="宋体" w:hint="eastAsia"/>
          <w:lang w:eastAsia="zh-CN"/>
        </w:rPr>
        <w:t>品</w:t>
      </w:r>
      <w:r>
        <w:rPr>
          <w:rFonts w:cs="宋体" w:hint="eastAsia"/>
          <w:lang w:eastAsia="zh-CN"/>
        </w:rPr>
        <w:t>风险管理中的</w:t>
      </w:r>
      <w:r w:rsidRPr="00F006BC">
        <w:rPr>
          <w:rFonts w:cs="宋体" w:hint="eastAsia"/>
          <w:lang w:eastAsia="zh-CN"/>
        </w:rPr>
        <w:t>衍生品</w:t>
      </w:r>
      <w:r w:rsidRPr="00EE702D">
        <w:rPr>
          <w:rFonts w:cs="宋体" w:hint="eastAsia"/>
          <w:lang w:eastAsia="zh-CN"/>
        </w:rPr>
        <w:t>定价模型</w:t>
      </w:r>
      <w:r>
        <w:rPr>
          <w:rFonts w:cs="宋体" w:hint="eastAsia"/>
          <w:lang w:eastAsia="zh-CN"/>
        </w:rPr>
        <w:t>。</w:t>
      </w:r>
    </w:p>
    <w:p w:rsidR="002C13B5" w:rsidRPr="006C7D52" w:rsidRDefault="002C13B5">
      <w:pPr>
        <w:pStyle w:val="Heading5"/>
      </w:pPr>
      <w:r w:rsidRPr="006C7D52">
        <w:t>ABSTRACT</w:t>
      </w:r>
    </w:p>
    <w:p w:rsidR="002C13B5" w:rsidRDefault="002C13B5" w:rsidP="005B3526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In most cases, it is assumed that a process of forward rates of a given index Interest Rate (IR) is strictly positive. Under this well accepted assumption by most practitioners, at least under normal market environment, we usually model the forward rate process by a CEV process. The most popular model assumption leads to a lognormal terminal distribution of an index IR rate at a future time. It is clear then that Negative Forward Rate (NFR) will be an issue in the model when it does occur. Based on current market situations, the</w:t>
      </w:r>
    </w:p>
    <w:p w:rsidR="002C13B5" w:rsidRDefault="002C13B5" w:rsidP="00B56F99">
      <w:pPr>
        <w:widowControl w:val="0"/>
        <w:autoSpaceDE w:val="0"/>
        <w:autoSpaceDN w:val="0"/>
        <w:adjustRightInd w:val="0"/>
        <w:jc w:val="both"/>
        <w:rPr>
          <w:sz w:val="27"/>
          <w:szCs w:val="27"/>
          <w:lang w:eastAsia="zh-CN"/>
        </w:rPr>
      </w:pPr>
      <w:r>
        <w:rPr>
          <w:sz w:val="27"/>
          <w:szCs w:val="27"/>
          <w:lang w:eastAsia="zh-CN"/>
        </w:rPr>
        <w:t>probability of the occurrence of NFR may be of small, however, we probably cannot afford the consequence if our model cannot handle NFR since some Profit/Loss (P&amp;L) and risk numbers may be completely ruined, particularly for option products. From a mathematical modeling view point, it is not that complicated to tackle this issue. There are more than one alternative approaches to handle evaluation of options in cases of NFR.</w:t>
      </w:r>
    </w:p>
    <w:p w:rsidR="002C13B5" w:rsidRDefault="002C13B5" w:rsidP="00B40C00">
      <w:pPr>
        <w:rPr>
          <w:lang w:eastAsia="zh-CN"/>
        </w:rPr>
      </w:pPr>
    </w:p>
    <w:p w:rsidR="002C13B5" w:rsidRDefault="002C13B5" w:rsidP="008A4252">
      <w:pPr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A67126">
        <w:rPr>
          <w:rFonts w:cs="宋体" w:hint="eastAsia"/>
          <w:b/>
          <w:bCs/>
          <w:color w:val="000000"/>
          <w:lang w:eastAsia="zh-CN"/>
        </w:rPr>
        <w:t>报告时间与地点：</w:t>
      </w:r>
      <w:r>
        <w:rPr>
          <w:b/>
          <w:bCs/>
          <w:color w:val="000000"/>
          <w:lang w:eastAsia="zh-CN"/>
        </w:rPr>
        <w:t>3</w:t>
      </w:r>
      <w:r w:rsidRPr="00A67126">
        <w:rPr>
          <w:rFonts w:cs="宋体" w:hint="eastAsia"/>
          <w:b/>
          <w:bCs/>
          <w:color w:val="000000"/>
          <w:lang w:eastAsia="zh-CN"/>
        </w:rPr>
        <w:t>月</w:t>
      </w:r>
      <w:r>
        <w:rPr>
          <w:b/>
          <w:bCs/>
          <w:color w:val="000000"/>
          <w:lang w:eastAsia="zh-CN"/>
        </w:rPr>
        <w:t>14</w:t>
      </w:r>
      <w:r w:rsidRPr="00A67126">
        <w:rPr>
          <w:rFonts w:cs="宋体" w:hint="eastAsia"/>
          <w:b/>
          <w:bCs/>
          <w:color w:val="000000"/>
          <w:lang w:eastAsia="zh-CN"/>
        </w:rPr>
        <w:t>日</w:t>
      </w:r>
      <w:r>
        <w:rPr>
          <w:b/>
          <w:bCs/>
          <w:color w:val="000000"/>
          <w:lang w:eastAsia="zh-CN"/>
        </w:rPr>
        <w:t>3</w:t>
      </w:r>
      <w:r w:rsidRPr="00A67126">
        <w:rPr>
          <w:rFonts w:cs="宋体" w:hint="eastAsia"/>
          <w:b/>
          <w:bCs/>
          <w:color w:val="000000"/>
          <w:lang w:eastAsia="zh-CN"/>
        </w:rPr>
        <w:t>：</w:t>
      </w:r>
      <w:r w:rsidRPr="00A67126">
        <w:rPr>
          <w:b/>
          <w:bCs/>
          <w:color w:val="000000"/>
          <w:lang w:eastAsia="zh-CN"/>
        </w:rPr>
        <w:t>30---</w:t>
      </w:r>
      <w:r>
        <w:rPr>
          <w:b/>
          <w:bCs/>
          <w:color w:val="000000"/>
          <w:lang w:eastAsia="zh-CN"/>
        </w:rPr>
        <w:t>5</w:t>
      </w:r>
      <w:r w:rsidRPr="00A67126">
        <w:rPr>
          <w:rFonts w:cs="宋体" w:hint="eastAsia"/>
          <w:b/>
          <w:bCs/>
          <w:color w:val="000000"/>
          <w:lang w:eastAsia="zh-CN"/>
        </w:rPr>
        <w:t>：</w:t>
      </w:r>
      <w:r>
        <w:rPr>
          <w:b/>
          <w:bCs/>
          <w:color w:val="000000"/>
          <w:lang w:eastAsia="zh-CN"/>
        </w:rPr>
        <w:t>0</w:t>
      </w:r>
      <w:r w:rsidRPr="00A67126">
        <w:rPr>
          <w:b/>
          <w:bCs/>
          <w:color w:val="000000"/>
          <w:lang w:eastAsia="zh-CN"/>
        </w:rPr>
        <w:t>0</w:t>
      </w:r>
      <w:r w:rsidRPr="00A67126">
        <w:rPr>
          <w:rFonts w:cs="宋体" w:hint="eastAsia"/>
          <w:b/>
          <w:bCs/>
          <w:color w:val="000000"/>
          <w:lang w:eastAsia="zh-CN"/>
        </w:rPr>
        <w:t>，</w:t>
      </w:r>
      <w:r>
        <w:rPr>
          <w:rFonts w:cs="宋体" w:hint="eastAsia"/>
          <w:b/>
          <w:bCs/>
          <w:color w:val="000000"/>
          <w:lang w:eastAsia="zh-CN"/>
        </w:rPr>
        <w:t>将军路校区经管院报告厅</w:t>
      </w:r>
      <w:r>
        <w:rPr>
          <w:b/>
          <w:bCs/>
          <w:color w:val="000000"/>
          <w:lang w:eastAsia="zh-CN"/>
        </w:rPr>
        <w:t>704</w:t>
      </w:r>
    </w:p>
    <w:sectPr w:rsidR="002C13B5" w:rsidSect="00353E3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B5" w:rsidRDefault="002C13B5">
      <w:r>
        <w:separator/>
      </w:r>
    </w:p>
  </w:endnote>
  <w:endnote w:type="continuationSeparator" w:id="0">
    <w:p w:rsidR="002C13B5" w:rsidRDefault="002C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B5" w:rsidRDefault="002C13B5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13B5" w:rsidRDefault="002C13B5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B5" w:rsidRDefault="002C13B5">
      <w:r>
        <w:separator/>
      </w:r>
    </w:p>
  </w:footnote>
  <w:footnote w:type="continuationSeparator" w:id="0">
    <w:p w:rsidR="002C13B5" w:rsidRDefault="002C1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64E"/>
    <w:rsid w:val="0000610E"/>
    <w:rsid w:val="000139B3"/>
    <w:rsid w:val="000451DC"/>
    <w:rsid w:val="000550B0"/>
    <w:rsid w:val="000661EC"/>
    <w:rsid w:val="00066C4C"/>
    <w:rsid w:val="000A003A"/>
    <w:rsid w:val="000B19D8"/>
    <w:rsid w:val="000C7C3F"/>
    <w:rsid w:val="000D3567"/>
    <w:rsid w:val="000E4CFF"/>
    <w:rsid w:val="000E51BA"/>
    <w:rsid w:val="000F0D54"/>
    <w:rsid w:val="000F48B5"/>
    <w:rsid w:val="00105817"/>
    <w:rsid w:val="00115A88"/>
    <w:rsid w:val="00115D8B"/>
    <w:rsid w:val="001213F2"/>
    <w:rsid w:val="00133DD4"/>
    <w:rsid w:val="00136890"/>
    <w:rsid w:val="00140BBF"/>
    <w:rsid w:val="00143E04"/>
    <w:rsid w:val="00153133"/>
    <w:rsid w:val="001811BA"/>
    <w:rsid w:val="00187F63"/>
    <w:rsid w:val="001A03D1"/>
    <w:rsid w:val="001A0D85"/>
    <w:rsid w:val="001E37A2"/>
    <w:rsid w:val="001E75C2"/>
    <w:rsid w:val="00227821"/>
    <w:rsid w:val="00294001"/>
    <w:rsid w:val="002B723F"/>
    <w:rsid w:val="002C13B5"/>
    <w:rsid w:val="00302170"/>
    <w:rsid w:val="003458E0"/>
    <w:rsid w:val="00353E35"/>
    <w:rsid w:val="00394469"/>
    <w:rsid w:val="003B0E0E"/>
    <w:rsid w:val="003F6BEF"/>
    <w:rsid w:val="00420CEE"/>
    <w:rsid w:val="00436C34"/>
    <w:rsid w:val="0045035E"/>
    <w:rsid w:val="00451B47"/>
    <w:rsid w:val="004657FA"/>
    <w:rsid w:val="00485D1C"/>
    <w:rsid w:val="004B188F"/>
    <w:rsid w:val="004F349F"/>
    <w:rsid w:val="00500FB4"/>
    <w:rsid w:val="00520B7C"/>
    <w:rsid w:val="005240B7"/>
    <w:rsid w:val="00530E5D"/>
    <w:rsid w:val="00533AC7"/>
    <w:rsid w:val="00570ACC"/>
    <w:rsid w:val="0057386C"/>
    <w:rsid w:val="00577CC4"/>
    <w:rsid w:val="005924FD"/>
    <w:rsid w:val="00594DF5"/>
    <w:rsid w:val="005B3526"/>
    <w:rsid w:val="005E1BB9"/>
    <w:rsid w:val="00635906"/>
    <w:rsid w:val="006455C5"/>
    <w:rsid w:val="00670505"/>
    <w:rsid w:val="00672296"/>
    <w:rsid w:val="00677E59"/>
    <w:rsid w:val="006C28BF"/>
    <w:rsid w:val="006C334F"/>
    <w:rsid w:val="006C7D52"/>
    <w:rsid w:val="006D4D01"/>
    <w:rsid w:val="006E4D87"/>
    <w:rsid w:val="006F636A"/>
    <w:rsid w:val="00710C35"/>
    <w:rsid w:val="00741046"/>
    <w:rsid w:val="007715F3"/>
    <w:rsid w:val="0077697B"/>
    <w:rsid w:val="007A2992"/>
    <w:rsid w:val="007B25BF"/>
    <w:rsid w:val="007B5CA6"/>
    <w:rsid w:val="007C5100"/>
    <w:rsid w:val="007D494B"/>
    <w:rsid w:val="007E0902"/>
    <w:rsid w:val="007F04C6"/>
    <w:rsid w:val="00842BD2"/>
    <w:rsid w:val="008441B6"/>
    <w:rsid w:val="00863192"/>
    <w:rsid w:val="0087515C"/>
    <w:rsid w:val="00891240"/>
    <w:rsid w:val="0089264E"/>
    <w:rsid w:val="008A4252"/>
    <w:rsid w:val="008F04DF"/>
    <w:rsid w:val="008F7AFB"/>
    <w:rsid w:val="00911269"/>
    <w:rsid w:val="0091503E"/>
    <w:rsid w:val="009300F2"/>
    <w:rsid w:val="0093014F"/>
    <w:rsid w:val="00946BA7"/>
    <w:rsid w:val="0095402D"/>
    <w:rsid w:val="00956915"/>
    <w:rsid w:val="009B0426"/>
    <w:rsid w:val="009C0BB2"/>
    <w:rsid w:val="009F347F"/>
    <w:rsid w:val="00A03B8C"/>
    <w:rsid w:val="00A27671"/>
    <w:rsid w:val="00A304BC"/>
    <w:rsid w:val="00A67126"/>
    <w:rsid w:val="00A707D0"/>
    <w:rsid w:val="00A74D09"/>
    <w:rsid w:val="00A7697B"/>
    <w:rsid w:val="00AB0BC9"/>
    <w:rsid w:val="00AC2861"/>
    <w:rsid w:val="00AF7EE8"/>
    <w:rsid w:val="00B20DBC"/>
    <w:rsid w:val="00B315BF"/>
    <w:rsid w:val="00B40C00"/>
    <w:rsid w:val="00B56F99"/>
    <w:rsid w:val="00B63D26"/>
    <w:rsid w:val="00B7259C"/>
    <w:rsid w:val="00B76E5A"/>
    <w:rsid w:val="00BE263A"/>
    <w:rsid w:val="00C1292D"/>
    <w:rsid w:val="00C7006F"/>
    <w:rsid w:val="00CA26FA"/>
    <w:rsid w:val="00CB7DAE"/>
    <w:rsid w:val="00CD0FCF"/>
    <w:rsid w:val="00CF3996"/>
    <w:rsid w:val="00D05F31"/>
    <w:rsid w:val="00D13931"/>
    <w:rsid w:val="00D513BC"/>
    <w:rsid w:val="00D90F39"/>
    <w:rsid w:val="00DA1FF8"/>
    <w:rsid w:val="00DA33BE"/>
    <w:rsid w:val="00DD24A0"/>
    <w:rsid w:val="00E3496F"/>
    <w:rsid w:val="00E61D4E"/>
    <w:rsid w:val="00EE45E0"/>
    <w:rsid w:val="00EE702D"/>
    <w:rsid w:val="00F006BC"/>
    <w:rsid w:val="00F14E6D"/>
    <w:rsid w:val="00F37933"/>
    <w:rsid w:val="00F64D0B"/>
    <w:rsid w:val="00FC00A5"/>
    <w:rsid w:val="00FE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35"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E35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3E35"/>
    <w:pPr>
      <w:keepNext/>
      <w:outlineLvl w:val="1"/>
    </w:pPr>
    <w:rPr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3E35"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3E35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3E35"/>
    <w:pPr>
      <w:keepNext/>
      <w:ind w:right="-720"/>
      <w:jc w:val="center"/>
      <w:outlineLvl w:val="4"/>
    </w:pPr>
    <w:rPr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4469"/>
    <w:rPr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4469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4469"/>
    <w:rPr>
      <w:b/>
      <w:bCs/>
      <w:kern w:val="0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94469"/>
    <w:rPr>
      <w:rFonts w:ascii="Cambria" w:eastAsia="宋体" w:hAnsi="Cambria" w:cs="Cambria"/>
      <w:b/>
      <w:bCs/>
      <w:kern w:val="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94469"/>
    <w:rPr>
      <w:b/>
      <w:bCs/>
      <w:kern w:val="0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53E3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New York" w:hAnsi="New York" w:cs="New York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4469"/>
    <w:rPr>
      <w:kern w:val="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rsid w:val="00353E35"/>
  </w:style>
  <w:style w:type="paragraph" w:styleId="Header">
    <w:name w:val="header"/>
    <w:basedOn w:val="Normal"/>
    <w:link w:val="HeaderChar"/>
    <w:uiPriority w:val="99"/>
    <w:rsid w:val="00353E3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New York" w:hAnsi="New York" w:cs="New York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4469"/>
    <w:rPr>
      <w:kern w:val="0"/>
      <w:sz w:val="18"/>
      <w:szCs w:val="18"/>
      <w:lang w:eastAsia="en-US"/>
    </w:rPr>
  </w:style>
  <w:style w:type="paragraph" w:styleId="BlockText">
    <w:name w:val="Block Text"/>
    <w:basedOn w:val="Normal"/>
    <w:uiPriority w:val="99"/>
    <w:rsid w:val="00353E35"/>
    <w:pPr>
      <w:ind w:left="-90" w:right="-720"/>
      <w:jc w:val="center"/>
    </w:pPr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353E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37933"/>
    <w:rPr>
      <w:color w:val="800080"/>
      <w:u w:val="single"/>
    </w:rPr>
  </w:style>
  <w:style w:type="paragraph" w:customStyle="1" w:styleId="Text">
    <w:name w:val="Text"/>
    <w:basedOn w:val="Normal"/>
    <w:uiPriority w:val="99"/>
    <w:rsid w:val="006C7D52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C5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510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CD0FCF"/>
    <w:pPr>
      <w:widowControl w:val="0"/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D0FCF"/>
    <w:rPr>
      <w:rFonts w:ascii="Cambria" w:hAnsi="Cambria" w:cs="Cambria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208</Words>
  <Characters>1188</Characters>
  <Application>Microsoft Office Outlook</Application>
  <DocSecurity>0</DocSecurity>
  <Lines>0</Lines>
  <Paragraphs>0</Paragraphs>
  <ScaleCrop>false</ScaleCrop>
  <Company>ACE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AUTONOMOUS CONTROL SYSTEMS IN SPACE</dc:title>
  <dc:subject/>
  <dc:creator>Aleksandar Tatomirovic</dc:creator>
  <cp:keywords/>
  <dc:description/>
  <cp:lastModifiedBy>hp</cp:lastModifiedBy>
  <cp:revision>2</cp:revision>
  <dcterms:created xsi:type="dcterms:W3CDTF">2014-03-11T02:31:00Z</dcterms:created>
  <dcterms:modified xsi:type="dcterms:W3CDTF">2014-03-11T02:31:00Z</dcterms:modified>
</cp:coreProperties>
</file>